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4F" w:rsidRPr="00E41865" w:rsidRDefault="00DD4E4F" w:rsidP="00DD4E4F">
      <w:pPr>
        <w:jc w:val="center"/>
        <w:rPr>
          <w:rFonts w:eastAsia="Times New Roman"/>
          <w:b/>
          <w:szCs w:val="24"/>
          <w:lang w:eastAsia="ru-RU"/>
        </w:rPr>
      </w:pPr>
      <w:r w:rsidRPr="00E41865">
        <w:rPr>
          <w:rFonts w:eastAsia="Times New Roman"/>
          <w:b/>
          <w:szCs w:val="24"/>
          <w:lang w:eastAsia="ru-RU"/>
        </w:rPr>
        <w:t>Сведения об отчете о проведенных мероприятиях органом внутреннего контроля</w:t>
      </w:r>
    </w:p>
    <w:p w:rsidR="00DD4E4F" w:rsidRPr="00E41865" w:rsidRDefault="00DD4E4F" w:rsidP="00DD4E4F">
      <w:pPr>
        <w:jc w:val="center"/>
        <w:rPr>
          <w:rFonts w:eastAsia="Times New Roman"/>
          <w:b/>
          <w:szCs w:val="24"/>
          <w:lang w:eastAsia="ru-RU"/>
        </w:rPr>
      </w:pPr>
      <w:r w:rsidRPr="00E41865">
        <w:rPr>
          <w:rFonts w:eastAsia="Times New Roman"/>
          <w:b/>
          <w:szCs w:val="24"/>
          <w:lang w:eastAsia="ru-RU"/>
        </w:rPr>
        <w:t>за период с 10.01.2022 по 30.12.2022</w:t>
      </w:r>
    </w:p>
    <w:p w:rsidR="00DD4E4F" w:rsidRDefault="00DD4E4F" w:rsidP="00DD4E4F">
      <w:pPr>
        <w:jc w:val="center"/>
        <w:rPr>
          <w:rFonts w:eastAsia="Times New Roman"/>
          <w:szCs w:val="24"/>
          <w:lang w:eastAsia="ru-RU"/>
        </w:rPr>
      </w:pPr>
    </w:p>
    <w:p w:rsidR="00DD4E4F" w:rsidRPr="00E41865" w:rsidRDefault="00DD4E4F" w:rsidP="00DD4E4F">
      <w:pPr>
        <w:jc w:val="right"/>
        <w:rPr>
          <w:rFonts w:eastAsia="Times New Roman"/>
          <w:szCs w:val="24"/>
          <w:lang w:eastAsia="ru-RU"/>
        </w:rPr>
      </w:pPr>
      <w:r>
        <w:rPr>
          <w:rFonts w:eastAsia="Times New Roman"/>
          <w:szCs w:val="24"/>
          <w:lang w:eastAsia="ru-RU"/>
        </w:rPr>
        <w:t>03.02.2023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0"/>
        <w:gridCol w:w="4385"/>
      </w:tblGrid>
      <w:tr w:rsidR="00DD4E4F" w:rsidRPr="00E41865" w:rsidTr="00FC1E15">
        <w:tc>
          <w:tcPr>
            <w:tcW w:w="0" w:type="auto"/>
            <w:gridSpan w:val="2"/>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1. Информация об организации, разместившей отчет</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Полное наименование</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МЕСТНАЯ АДМИНИСТРАЦИЯ ВНУТРИГОРОДСКОГО МУНИЦИПАЛЬНОГО ОБРАЗОВАНИЯ ГОРОДА ФЕДЕРАЛЬНОГО ЗНАЧЕНИЯ САНКТ-ПЕТЕРБУРГА МУНИЦИПАЛЬНЫЙ ОКРУГ СОСНОВСКОЕ</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Сокращенное наименование</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МЕСТНАЯ АДМИНИСТРАЦИЯ ВМО МО СОСНОВСКОЕ</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ИНН</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7802340269</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КПП</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780201001</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ОГРН</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1057813058335</w:t>
            </w:r>
          </w:p>
        </w:tc>
      </w:tr>
      <w:tr w:rsidR="00DD4E4F" w:rsidRPr="00E41865" w:rsidTr="00FC1E15">
        <w:tc>
          <w:tcPr>
            <w:tcW w:w="0" w:type="auto"/>
            <w:gridSpan w:val="2"/>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2. Количество действующих на территории субъекта органов, осуществляющих контрольные функции</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Контроль в сфере закупок</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Внутренний государственный(муниципальный) финансовый контроль</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Контроль в сфере закупок и внутренний государственный(муниципальный) финансовый контроль одновременно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1</w:t>
            </w:r>
          </w:p>
        </w:tc>
      </w:tr>
      <w:tr w:rsidR="00DD4E4F" w:rsidRPr="00E41865" w:rsidTr="00FC1E15">
        <w:tc>
          <w:tcPr>
            <w:tcW w:w="0" w:type="auto"/>
            <w:gridSpan w:val="2"/>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3. Количество проведенных контрольных мероприятий контрольными органами в сфере закупок</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Общее количество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Плановые проверки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Внеплановые проверки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gridSpan w:val="2"/>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4. Количество проведенных контрольных мероприятий органами внутреннего государственного(муниципального) финансового контроля</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Общее количество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Плановые проверки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Плановые ревизии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Плановые обследования</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Внеплановые проверки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Внеплановые ревизии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Внеплановые обследования</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gridSpan w:val="2"/>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5. Количество проведенных контрольных мероприятий органами, как уполномоченными на осуществление контроля в сфере закупок, так и являющимися органами внутреннего государственного(муниципального) финансового контроля одновременно</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Общее количество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2</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Плановые проверки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2</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Плановые ревизии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Плановые обследования</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Внеплановые проверки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Внеплановые ревизии</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Внеплановые обследования</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gridSpan w:val="2"/>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6. Основные виды нарушений, выявленных в ходе проведения контрольных мероприятий</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lastRenderedPageBreak/>
              <w:t>Основные виды нарушений, выявленных в ходе проведения контрольных мероприятий с указанием пункта, части, статьи Закона № 44-ФЗ</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w:t>
            </w:r>
          </w:p>
        </w:tc>
      </w:tr>
      <w:tr w:rsidR="00DD4E4F" w:rsidRPr="00E41865" w:rsidTr="00FC1E15">
        <w:tc>
          <w:tcPr>
            <w:tcW w:w="0" w:type="auto"/>
            <w:gridSpan w:val="2"/>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7. Общее количество выданных предписаний</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Общее количество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Обжаловано в судах</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Обосновано обжаловано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Не обосновано обжаловано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Отменено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Отменено частично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Оставлено в силе</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gridSpan w:val="2"/>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8. Количество обжалований в досудебном (внесудебном) порядке действий (бездействия) должностных лиц</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Общее количество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Обосновано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r w:rsidR="00DD4E4F" w:rsidRPr="00E41865" w:rsidTr="00FC1E15">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b/>
                <w:bCs/>
                <w:szCs w:val="24"/>
                <w:lang w:eastAsia="ru-RU"/>
              </w:rPr>
              <w:t>Не обосновано</w:t>
            </w:r>
          </w:p>
        </w:tc>
        <w:tc>
          <w:tcPr>
            <w:tcW w:w="0" w:type="auto"/>
            <w:vAlign w:val="center"/>
            <w:hideMark/>
          </w:tcPr>
          <w:p w:rsidR="00DD4E4F" w:rsidRPr="00E41865" w:rsidRDefault="00DD4E4F" w:rsidP="00FC1E15">
            <w:pPr>
              <w:rPr>
                <w:rFonts w:eastAsia="Times New Roman"/>
                <w:szCs w:val="24"/>
                <w:lang w:eastAsia="ru-RU"/>
              </w:rPr>
            </w:pPr>
            <w:r w:rsidRPr="00E41865">
              <w:rPr>
                <w:rFonts w:eastAsia="Times New Roman"/>
                <w:szCs w:val="24"/>
                <w:lang w:eastAsia="ru-RU"/>
              </w:rPr>
              <w:t>0</w:t>
            </w:r>
          </w:p>
        </w:tc>
      </w:tr>
    </w:tbl>
    <w:p w:rsidR="00DD4E4F" w:rsidRDefault="00DD4E4F" w:rsidP="00DD4E4F">
      <w:pPr>
        <w:rPr>
          <w:szCs w:val="24"/>
        </w:rPr>
      </w:pPr>
    </w:p>
    <w:p w:rsidR="00DD4E4F" w:rsidRDefault="00DD4E4F" w:rsidP="00DD4E4F">
      <w:pPr>
        <w:rPr>
          <w:szCs w:val="24"/>
        </w:rPr>
      </w:pPr>
    </w:p>
    <w:p w:rsidR="00DD4E4F" w:rsidRDefault="00DD4E4F" w:rsidP="00DD4E4F">
      <w:pPr>
        <w:rPr>
          <w:szCs w:val="24"/>
        </w:rPr>
      </w:pPr>
      <w:r>
        <w:rPr>
          <w:szCs w:val="24"/>
        </w:rPr>
        <w:t>Главный бухгалтер</w:t>
      </w:r>
    </w:p>
    <w:p w:rsidR="00ED0A06" w:rsidRDefault="00DD4E4F" w:rsidP="00DD4E4F">
      <w:pPr>
        <w:rPr>
          <w:szCs w:val="24"/>
        </w:rPr>
      </w:pPr>
      <w:r>
        <w:rPr>
          <w:szCs w:val="24"/>
        </w:rPr>
        <w:t>Местной Администрации ВМО МО Сосновское                                               В. А. Нефедова</w:t>
      </w: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DD4E4F" w:rsidRDefault="00DD4E4F" w:rsidP="00DD4E4F">
      <w:pPr>
        <w:rPr>
          <w:szCs w:val="24"/>
        </w:rPr>
      </w:pPr>
    </w:p>
    <w:p w:rsidR="004F7E8E" w:rsidRPr="00016498" w:rsidRDefault="004F7E8E" w:rsidP="004F7E8E">
      <w:pPr>
        <w:jc w:val="center"/>
        <w:rPr>
          <w:rFonts w:eastAsia="Times New Roman"/>
          <w:b/>
          <w:szCs w:val="24"/>
          <w:lang w:eastAsia="ru-RU"/>
        </w:rPr>
      </w:pPr>
      <w:r w:rsidRPr="00016498">
        <w:rPr>
          <w:rFonts w:eastAsia="Times New Roman"/>
          <w:b/>
          <w:szCs w:val="24"/>
          <w:lang w:eastAsia="ru-RU"/>
        </w:rPr>
        <w:lastRenderedPageBreak/>
        <w:t>Сведения об отчете о проведенных мероприятиях контрольным органом в сфере закупок</w:t>
      </w:r>
      <w:r>
        <w:rPr>
          <w:rFonts w:eastAsia="Times New Roman"/>
          <w:b/>
          <w:szCs w:val="24"/>
          <w:lang w:eastAsia="ru-RU"/>
        </w:rPr>
        <w:t xml:space="preserve"> </w:t>
      </w:r>
      <w:r w:rsidRPr="00016498">
        <w:rPr>
          <w:rFonts w:eastAsia="Times New Roman"/>
          <w:b/>
          <w:szCs w:val="24"/>
          <w:lang w:eastAsia="ru-RU"/>
        </w:rPr>
        <w:t>за период с 10.01.2022 по 30.12.2022</w:t>
      </w:r>
    </w:p>
    <w:p w:rsidR="004F7E8E" w:rsidRDefault="004F7E8E" w:rsidP="004F7E8E">
      <w:pPr>
        <w:rPr>
          <w:rFonts w:eastAsia="Times New Roman"/>
          <w:szCs w:val="24"/>
          <w:lang w:eastAsia="ru-RU"/>
        </w:rPr>
      </w:pPr>
    </w:p>
    <w:p w:rsidR="004F7E8E" w:rsidRPr="00016498" w:rsidRDefault="004F7E8E" w:rsidP="004F7E8E">
      <w:pPr>
        <w:jc w:val="right"/>
        <w:rPr>
          <w:rFonts w:eastAsia="Times New Roman"/>
          <w:szCs w:val="24"/>
          <w:lang w:eastAsia="ru-RU"/>
        </w:rPr>
      </w:pPr>
      <w:r>
        <w:rPr>
          <w:rFonts w:eastAsia="Times New Roman"/>
          <w:szCs w:val="24"/>
          <w:lang w:eastAsia="ru-RU"/>
        </w:rPr>
        <w:t xml:space="preserve">03.02.2023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4240"/>
      </w:tblGrid>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 Информация об организации, разместившей отчет</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Полное наименование</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МЕСТНАЯ АДМИНИСТРАЦИЯ ВНУТРИГОРОДСКОГО МУНИЦИПАЛЬНОГО ОБРАЗОВАНИЯ ГОРОДА ФЕДЕРАЛЬНОГО ЗНАЧЕНИЯ САНКТ-ПЕТЕРБУРГА МУНИЦИПАЛЬНЫЙ ОКРУГ СОСНОВСКОЕ</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Сокращенное наименование</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МЕСТНАЯ АДМИНИСТРАЦИЯ ВМО МО СОСНОВСКОЕ</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ИНН</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7802340269</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КПП</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780201001</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ОГРН</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1057813058335</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2. Количество действующих на территории субъекта органов, осуществляющих контрольные функции</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Контроль в сфере закупок</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Внутренний государственный(муниципальный) финансовый контроль</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Контроль в сфере закупок и внутренний государственный(муниципальный) финансовый контроль одновременно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3. Количество проведенных контрольных мероприятий контрольными органами в сфере закупок</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Плановые проверки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Внеплановые проверки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4. Количество проведенных контрольных мероприятий органами внутреннего государственного(муниципального) финансового контроля</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Плановые проверки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Плановые ревизии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Плановые обследования</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Внеплановые проверки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Внеплановые ревизии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Внеплановые обследования</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5. Количество проведенных контрольных мероприятий органами, как уполномоченными на осуществление контроля в сфере закупок, так и являющимися органами внутреннего государственного(муниципального) финансового контроля одновременно</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Плановые проверки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Плановые ревизии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Плановые обследования</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Внеплановые проверки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Внеплановые ревизии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Внеплановые обследования</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lastRenderedPageBreak/>
              <w:t>6. 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2</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Признано обоснованными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Признано обоснованными частично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Признано необоснованными</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Возвращено заявителю</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Отозвано заявителем</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Основные причины жалоб с указанием пункта, части, статьи Закона № 44-ФЗ, кодекса Российской Федерации об административных правонарушениях (КоАП РФ)</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пункта 5 части 1 статьи 42 Федерального закона от 05.04.2013 N 44-ФЗ; ст. 48 Федерального закона от 05.04.2013 N 44-ФЗ</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Согласовано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Отказано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8. Общее количество выданных предписаний об устранении правонарушений</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 аннулировании определения поставщиков (подрядчиков, исполнителей)</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 xml:space="preserve">9. Количество </w:t>
            </w:r>
            <w:proofErr w:type="gramStart"/>
            <w:r w:rsidRPr="00016498">
              <w:rPr>
                <w:rFonts w:eastAsia="Times New Roman"/>
                <w:szCs w:val="24"/>
                <w:lang w:eastAsia="ru-RU"/>
              </w:rPr>
              <w:t>предписаний</w:t>
            </w:r>
            <w:proofErr w:type="gramEnd"/>
            <w:r w:rsidRPr="00016498">
              <w:rPr>
                <w:rFonts w:eastAsia="Times New Roman"/>
                <w:szCs w:val="24"/>
                <w:lang w:eastAsia="ru-RU"/>
              </w:rPr>
              <w:t xml:space="preserve"> обжалованных в судебном порядке</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Отменено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Отменено частично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Оставлено в силе</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10. Количество обжалований в досудебном(внесудебном) порядке действий(бездействия) должностных лиц</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Обосновано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Не обосновано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Основные причины возбуждения дел с указанием пункта, части, статьи Закона № 44-ФЗ</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ст. 103 Федерального закона от 05.04.2013 № 44-ФЗ</w:t>
            </w:r>
          </w:p>
        </w:tc>
      </w:tr>
      <w:tr w:rsidR="004F7E8E" w:rsidRPr="00016498" w:rsidTr="00FC1E15">
        <w:tc>
          <w:tcPr>
            <w:tcW w:w="0" w:type="auto"/>
            <w:gridSpan w:val="2"/>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12. Количество выданных постановлений о наложении административных штрафов</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Общее количество</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Сумма наложенных административных штрафов (в рублях)</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0.00</w:t>
            </w:r>
          </w:p>
        </w:tc>
      </w:tr>
      <w:tr w:rsidR="004F7E8E" w:rsidRPr="00016498" w:rsidTr="00FC1E15">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b/>
                <w:bCs/>
                <w:szCs w:val="24"/>
                <w:lang w:eastAsia="ru-RU"/>
              </w:rPr>
              <w:t>Сумма взысканных административных штрафов (в рублях)</w:t>
            </w:r>
          </w:p>
        </w:tc>
        <w:tc>
          <w:tcPr>
            <w:tcW w:w="0" w:type="auto"/>
            <w:vAlign w:val="center"/>
            <w:hideMark/>
          </w:tcPr>
          <w:p w:rsidR="004F7E8E" w:rsidRPr="00016498" w:rsidRDefault="004F7E8E" w:rsidP="00FC1E15">
            <w:pPr>
              <w:rPr>
                <w:rFonts w:eastAsia="Times New Roman"/>
                <w:szCs w:val="24"/>
                <w:lang w:eastAsia="ru-RU"/>
              </w:rPr>
            </w:pPr>
            <w:r w:rsidRPr="00016498">
              <w:rPr>
                <w:rFonts w:eastAsia="Times New Roman"/>
                <w:szCs w:val="24"/>
                <w:lang w:eastAsia="ru-RU"/>
              </w:rPr>
              <w:t>0.00</w:t>
            </w:r>
          </w:p>
        </w:tc>
      </w:tr>
    </w:tbl>
    <w:p w:rsidR="004F7E8E" w:rsidRDefault="004F7E8E" w:rsidP="004F7E8E">
      <w:pPr>
        <w:rPr>
          <w:szCs w:val="24"/>
        </w:rPr>
      </w:pPr>
      <w:bookmarkStart w:id="0" w:name="_GoBack"/>
      <w:bookmarkEnd w:id="0"/>
    </w:p>
    <w:p w:rsidR="004F7E8E" w:rsidRDefault="004F7E8E" w:rsidP="004F7E8E">
      <w:r>
        <w:t>Главный бухгалтер</w:t>
      </w:r>
    </w:p>
    <w:p w:rsidR="00DD4E4F" w:rsidRDefault="004F7E8E" w:rsidP="004F7E8E">
      <w:r>
        <w:t xml:space="preserve">Местной Администрации ВМО МО Сосновское </w:t>
      </w:r>
      <w:r>
        <w:tab/>
      </w:r>
      <w:r>
        <w:tab/>
      </w:r>
      <w:r>
        <w:tab/>
        <w:t xml:space="preserve">          В. А. Нефедова</w:t>
      </w:r>
    </w:p>
    <w:sectPr w:rsidR="00DD4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C6"/>
    <w:rsid w:val="004F7E8E"/>
    <w:rsid w:val="009A2DC6"/>
    <w:rsid w:val="00DD4E4F"/>
    <w:rsid w:val="00ED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A9770-D16B-4E16-AA20-D4C03C4D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E4F"/>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2023-02-03T11:42:00Z</dcterms:created>
  <dcterms:modified xsi:type="dcterms:W3CDTF">2023-02-03T11:57:00Z</dcterms:modified>
</cp:coreProperties>
</file>